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DA73" w14:textId="77777777" w:rsidR="00BE1E88" w:rsidRDefault="00322DA2">
      <w:r>
        <w:rPr>
          <w:noProof/>
        </w:rPr>
        <w:drawing>
          <wp:anchor distT="0" distB="0" distL="114300" distR="114300" simplePos="0" relativeHeight="251659264" behindDoc="1" locked="0" layoutInCell="1" allowOverlap="1" wp14:anchorId="1DE3CF43" wp14:editId="4792ECC5">
            <wp:simplePos x="0" y="0"/>
            <wp:positionH relativeFrom="margin">
              <wp:posOffset>1930400</wp:posOffset>
            </wp:positionH>
            <wp:positionV relativeFrom="paragraph">
              <wp:posOffset>0</wp:posOffset>
            </wp:positionV>
            <wp:extent cx="2876550" cy="1029970"/>
            <wp:effectExtent l="0" t="0" r="0" b="0"/>
            <wp:wrapTight wrapText="bothSides">
              <wp:wrapPolygon edited="0">
                <wp:start x="6008" y="0"/>
                <wp:lineTo x="5293" y="1998"/>
                <wp:lineTo x="4721" y="4794"/>
                <wp:lineTo x="4721" y="9588"/>
                <wp:lineTo x="7868" y="12784"/>
                <wp:lineTo x="10728" y="12784"/>
                <wp:lineTo x="0" y="14382"/>
                <wp:lineTo x="0" y="21174"/>
                <wp:lineTo x="21457" y="21174"/>
                <wp:lineTo x="21457" y="14382"/>
                <wp:lineTo x="10728" y="12784"/>
                <wp:lineTo x="13732" y="12784"/>
                <wp:lineTo x="16879" y="9588"/>
                <wp:lineTo x="17023" y="5194"/>
                <wp:lineTo x="16450" y="2397"/>
                <wp:lineTo x="15592" y="0"/>
                <wp:lineTo x="6008" y="0"/>
              </wp:wrapPolygon>
            </wp:wrapTight>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76550" cy="1029970"/>
                    </a:xfrm>
                    <a:prstGeom prst="rect">
                      <a:avLst/>
                    </a:prstGeom>
                  </pic:spPr>
                </pic:pic>
              </a:graphicData>
            </a:graphic>
          </wp:anchor>
        </w:drawing>
      </w:r>
    </w:p>
    <w:p w14:paraId="69E331A9" w14:textId="77777777" w:rsidR="00BE1E88" w:rsidRDefault="00BE1E88"/>
    <w:p w14:paraId="4BF50FF6" w14:textId="77777777" w:rsidR="00BE1E88" w:rsidRDefault="00BE1E88"/>
    <w:p w14:paraId="13723BF8" w14:textId="77777777" w:rsidR="00BE1E88" w:rsidRDefault="00BE1E88"/>
    <w:p w14:paraId="20734647" w14:textId="77777777" w:rsidR="00BE1E88" w:rsidRDefault="00322DA2">
      <w:pPr>
        <w:jc w:val="center"/>
        <w:rPr>
          <w:b/>
          <w:bCs/>
          <w:color w:val="EE0000"/>
        </w:rPr>
      </w:pPr>
      <w:r>
        <w:rPr>
          <w:b/>
          <w:bCs/>
          <w:color w:val="EE0000"/>
        </w:rPr>
        <w:t>Rapid Market Assessment</w:t>
      </w:r>
    </w:p>
    <w:p w14:paraId="015BD994" w14:textId="77777777" w:rsidR="00BE1E88" w:rsidRDefault="00322DA2">
      <w:pPr>
        <w:rPr>
          <w:b/>
          <w:bCs/>
        </w:rPr>
      </w:pPr>
      <w:r>
        <w:rPr>
          <w:b/>
          <w:bCs/>
        </w:rPr>
        <w:t xml:space="preserve">Background </w:t>
      </w:r>
    </w:p>
    <w:p w14:paraId="3BB6B6B1" w14:textId="77777777" w:rsidR="00BE1E88" w:rsidRDefault="00322DA2">
      <w:pPr>
        <w:jc w:val="both"/>
      </w:pPr>
      <w:r>
        <w:t>Addition for Disaster Assistance and Development (ADD) is a national NGO registered with the Humanitarian Aid Commission in 2016. As a preeminent first responder, ADD provides emergency relief to communities affected by conflict, disaster, and disease, regardless of location or conditions. Our mission extends beyond immediate relief: once emergencies subside, we transition from emergency medical response to long-term humanitarian support and training, equipping communities with the skills and tools needed f</w:t>
      </w:r>
      <w:r>
        <w:t>or self-reliance.</w:t>
      </w:r>
    </w:p>
    <w:p w14:paraId="6B8B796B" w14:textId="77777777" w:rsidR="00BE1E88" w:rsidRDefault="00322DA2">
      <w:pPr>
        <w:jc w:val="both"/>
      </w:pPr>
      <w:r>
        <w:t>ADD delivers integrated humanitarian and development services across multiple sectors, including healthcare, nutrition, food security and livelihoods (FSL), WASH, protection, cash-based interventions (CBI), social and behavior change (SBC), education, and shelter/NFIs.</w:t>
      </w:r>
    </w:p>
    <w:p w14:paraId="60BDF05C" w14:textId="77777777" w:rsidR="00BE1E88" w:rsidRDefault="00322DA2">
      <w:pPr>
        <w:jc w:val="both"/>
      </w:pPr>
      <w:r>
        <w:t xml:space="preserve">ADD through funding from UNHCR, implement a market-driven livelihood intervention in Khartoum State. The initiative targets IDPs and host communities, with a focus on rural populations, </w:t>
      </w:r>
      <w:proofErr w:type="spellStart"/>
      <w:r>
        <w:t>agro</w:t>
      </w:r>
      <w:proofErr w:type="spellEnd"/>
      <w:r>
        <w:t>-pastoralists, pastoralists, fishing groups, and women. The project places a strong emphasis on Women’s Economic Empowerment (WEE) by engaging female participants in viable, demand-driven income-generating activities (IGAs).</w:t>
      </w:r>
    </w:p>
    <w:p w14:paraId="71BAE83D" w14:textId="77777777" w:rsidR="00BE1E88" w:rsidRDefault="00322DA2">
      <w:pPr>
        <w:jc w:val="both"/>
      </w:pPr>
      <w:r>
        <w:t>With over a decade of experience implementing livelihood programs, ADD will facilitate knowledge sharing and peer-to-peer learning among successful female entrepreneurs, women’s cooperatives, and farming groups. The project aligns with ADD's market systems development (MSD) approach, ensuring that skills development and IGAs are commercially viable, responsive to market demands, and embedded within sustainable value chains.</w:t>
      </w:r>
    </w:p>
    <w:p w14:paraId="2A6C5ECD" w14:textId="77777777" w:rsidR="00BE1E88" w:rsidRDefault="00322DA2">
      <w:pPr>
        <w:jc w:val="both"/>
      </w:pPr>
      <w:r>
        <w:rPr>
          <w:b/>
          <w:bCs/>
        </w:rPr>
        <w:t>Strategic Objective</w:t>
      </w:r>
    </w:p>
    <w:p w14:paraId="1A7DB504" w14:textId="77777777" w:rsidR="00BE1E88" w:rsidRDefault="00322DA2">
      <w:pPr>
        <w:jc w:val="both"/>
      </w:pPr>
      <w:r>
        <w:t>The primary goal is to identify high-potential IGAs by analyzing market dynamics, community needs, and available resources. This ensures that interventions are:</w:t>
      </w:r>
    </w:p>
    <w:p w14:paraId="63962C6C" w14:textId="77777777" w:rsidR="00BE1E88" w:rsidRDefault="00322DA2">
      <w:pPr>
        <w:numPr>
          <w:ilvl w:val="0"/>
          <w:numId w:val="1"/>
        </w:numPr>
        <w:spacing w:after="0" w:line="240" w:lineRule="auto"/>
        <w:jc w:val="both"/>
      </w:pPr>
      <w:r>
        <w:t>Market-led – leveraging real-time market data to align business opportunities with demand trends.</w:t>
      </w:r>
    </w:p>
    <w:p w14:paraId="13332080" w14:textId="77777777" w:rsidR="00BE1E88" w:rsidRDefault="00322DA2">
      <w:pPr>
        <w:numPr>
          <w:ilvl w:val="0"/>
          <w:numId w:val="1"/>
        </w:numPr>
        <w:spacing w:after="0" w:line="240" w:lineRule="auto"/>
        <w:jc w:val="both"/>
      </w:pPr>
      <w:r>
        <w:t>Sustainable – fostering long-term economic participation rather than short-term assistance.</w:t>
      </w:r>
    </w:p>
    <w:p w14:paraId="2B728C3E" w14:textId="77777777" w:rsidR="00BE1E88" w:rsidRDefault="00322DA2">
      <w:pPr>
        <w:numPr>
          <w:ilvl w:val="0"/>
          <w:numId w:val="1"/>
        </w:numPr>
        <w:spacing w:after="0" w:line="240" w:lineRule="auto"/>
        <w:jc w:val="both"/>
      </w:pPr>
      <w:r>
        <w:t>Scalable – identifying systemic constraints and opportunities to create enabling environments for economic growth.</w:t>
      </w:r>
    </w:p>
    <w:p w14:paraId="647AF3C6" w14:textId="77777777" w:rsidR="00BE1E88" w:rsidRDefault="00BE1E88">
      <w:pPr>
        <w:spacing w:after="0" w:line="240" w:lineRule="auto"/>
        <w:ind w:left="720"/>
        <w:jc w:val="both"/>
      </w:pPr>
    </w:p>
    <w:p w14:paraId="5BE6D72F" w14:textId="77777777" w:rsidR="00BE1E88" w:rsidRDefault="00322DA2">
      <w:pPr>
        <w:jc w:val="both"/>
      </w:pPr>
      <w:r>
        <w:t>A Rapid Market Assessment (RMA) will be conducted to evaluate supply and demand trends, identify market gaps, and assess potential entry points for beneficiaries. The findings will inform interventions aimed at reducing structural barriers, strengthening market linkages, and enhancing the economic resilience of both IDPs and host communities.</w:t>
      </w:r>
    </w:p>
    <w:p w14:paraId="41DA0143" w14:textId="77777777" w:rsidR="00BE1E88" w:rsidRDefault="00322DA2">
      <w:pPr>
        <w:jc w:val="both"/>
      </w:pPr>
      <w:r>
        <w:lastRenderedPageBreak/>
        <w:t>Market Analysis &amp; Business Ecosystem Mapping</w:t>
      </w:r>
    </w:p>
    <w:p w14:paraId="636F435A" w14:textId="77777777" w:rsidR="00BE1E88" w:rsidRDefault="00322DA2">
      <w:pPr>
        <w:jc w:val="both"/>
      </w:pPr>
      <w:r>
        <w:t>A detailed sectoral analysis will be conducted to assess:</w:t>
      </w:r>
    </w:p>
    <w:p w14:paraId="3E77AFA2" w14:textId="77777777" w:rsidR="00BE1E88" w:rsidRDefault="00322DA2">
      <w:pPr>
        <w:numPr>
          <w:ilvl w:val="0"/>
          <w:numId w:val="2"/>
        </w:numPr>
        <w:spacing w:after="0" w:line="240" w:lineRule="auto"/>
        <w:jc w:val="both"/>
      </w:pPr>
      <w:r>
        <w:t>Existing businesses and enterprise landscapes in the target areas.</w:t>
      </w:r>
    </w:p>
    <w:p w14:paraId="1099AED3" w14:textId="77777777" w:rsidR="00BE1E88" w:rsidRDefault="00322DA2">
      <w:pPr>
        <w:numPr>
          <w:ilvl w:val="0"/>
          <w:numId w:val="2"/>
        </w:numPr>
        <w:spacing w:after="0" w:line="240" w:lineRule="auto"/>
        <w:jc w:val="both"/>
      </w:pPr>
      <w:r>
        <w:t>Sub-sector skill gaps and labor market demand for specific trades.</w:t>
      </w:r>
    </w:p>
    <w:p w14:paraId="72D48760" w14:textId="77777777" w:rsidR="00BE1E88" w:rsidRDefault="00322DA2">
      <w:pPr>
        <w:numPr>
          <w:ilvl w:val="0"/>
          <w:numId w:val="2"/>
        </w:numPr>
        <w:spacing w:after="0" w:line="240" w:lineRule="auto"/>
        <w:jc w:val="both"/>
      </w:pPr>
      <w:r>
        <w:t>Opportunities and constraints for new business formation and expansion.</w:t>
      </w:r>
    </w:p>
    <w:p w14:paraId="5E5A6CF4" w14:textId="77777777" w:rsidR="00BE1E88" w:rsidRDefault="00322DA2">
      <w:pPr>
        <w:numPr>
          <w:ilvl w:val="0"/>
          <w:numId w:val="2"/>
        </w:numPr>
        <w:spacing w:after="0" w:line="240" w:lineRule="auto"/>
        <w:jc w:val="both"/>
      </w:pPr>
      <w:r>
        <w:t>Institutional capacity to support livelihood initiatives, including financial services, vocational training, and enterprise support mechanisms.</w:t>
      </w:r>
    </w:p>
    <w:p w14:paraId="4E12A8E0" w14:textId="77777777" w:rsidR="00BE1E88" w:rsidRDefault="00BE1E88">
      <w:pPr>
        <w:spacing w:after="0" w:line="240" w:lineRule="auto"/>
        <w:ind w:left="720"/>
        <w:jc w:val="both"/>
      </w:pPr>
    </w:p>
    <w:p w14:paraId="3CE58A38" w14:textId="77777777" w:rsidR="00BE1E88" w:rsidRDefault="00322DA2">
      <w:pPr>
        <w:jc w:val="both"/>
        <w:rPr>
          <w:b/>
          <w:bCs/>
        </w:rPr>
      </w:pPr>
      <w:r>
        <w:rPr>
          <w:b/>
          <w:bCs/>
        </w:rPr>
        <w:t xml:space="preserve">Scope of Work </w:t>
      </w:r>
    </w:p>
    <w:p w14:paraId="4CF44EF3" w14:textId="77777777" w:rsidR="00BE1E88" w:rsidRDefault="00322DA2">
      <w:pPr>
        <w:jc w:val="both"/>
      </w:pPr>
      <w:r>
        <w:t>The Study shall cover Omdurman in Khartoum state</w:t>
      </w:r>
      <w:r>
        <w:t>,</w:t>
      </w:r>
      <w:r>
        <w:t xml:space="preserve"> where IDPs and host communities settled down</w:t>
      </w:r>
      <w:r>
        <w:t>,</w:t>
      </w:r>
      <w:r>
        <w:t xml:space="preserve"> and the project will be implemented.</w:t>
      </w:r>
    </w:p>
    <w:p w14:paraId="53859A7D" w14:textId="77777777" w:rsidR="00BE1E88" w:rsidRDefault="00322DA2">
      <w:pPr>
        <w:jc w:val="both"/>
      </w:pPr>
      <w:r>
        <w:t xml:space="preserve">However, and through a consultative and participatory process, the consultant will work with ADD MEAL team to perform the following activities: </w:t>
      </w:r>
    </w:p>
    <w:p w14:paraId="4784A1EC" w14:textId="2B6B559B" w:rsidR="00BE1E88" w:rsidRDefault="00322DA2">
      <w:pPr>
        <w:pStyle w:val="ListParagraph"/>
        <w:numPr>
          <w:ilvl w:val="0"/>
          <w:numId w:val="3"/>
        </w:numPr>
        <w:jc w:val="both"/>
      </w:pPr>
      <w:r>
        <w:t>Data collection from the primary source</w:t>
      </w:r>
      <w:r>
        <w:t>.</w:t>
      </w:r>
    </w:p>
    <w:p w14:paraId="57683F33" w14:textId="1737E51C" w:rsidR="00BE1E88" w:rsidRDefault="00322DA2">
      <w:pPr>
        <w:pStyle w:val="ListParagraph"/>
        <w:numPr>
          <w:ilvl w:val="0"/>
          <w:numId w:val="3"/>
        </w:numPr>
        <w:jc w:val="both"/>
      </w:pPr>
      <w:r>
        <w:t>Data management</w:t>
      </w:r>
      <w:r>
        <w:t xml:space="preserve">: the </w:t>
      </w:r>
      <w:r>
        <w:t xml:space="preserve">consultant will review and manage </w:t>
      </w:r>
      <w:r>
        <w:t xml:space="preserve">all collected and entered data. </w:t>
      </w:r>
    </w:p>
    <w:p w14:paraId="159CF950" w14:textId="49988E43" w:rsidR="00BE1E88" w:rsidRDefault="00322DA2">
      <w:pPr>
        <w:pStyle w:val="ListParagraph"/>
        <w:numPr>
          <w:ilvl w:val="0"/>
          <w:numId w:val="3"/>
        </w:numPr>
        <w:jc w:val="both"/>
      </w:pPr>
      <w:r>
        <w:t>Data cleaning and data analysis: the consultant should clean all the data</w:t>
      </w:r>
      <w:r>
        <w:t>,</w:t>
      </w:r>
      <w:r>
        <w:t xml:space="preserve"> and he/she should analyze the data by </w:t>
      </w:r>
      <w:r>
        <w:t xml:space="preserve">performing </w:t>
      </w:r>
      <w:r>
        <w:t>data entry and verification</w:t>
      </w:r>
      <w:r>
        <w:t>.</w:t>
      </w:r>
    </w:p>
    <w:p w14:paraId="60F163B3" w14:textId="77777777" w:rsidR="00BE1E88" w:rsidRDefault="00322DA2">
      <w:pPr>
        <w:pStyle w:val="ListParagraph"/>
        <w:numPr>
          <w:ilvl w:val="0"/>
          <w:numId w:val="3"/>
        </w:numPr>
        <w:jc w:val="both"/>
      </w:pPr>
      <w:r>
        <w:t>Make available a finalized, cleaned dataset.</w:t>
      </w:r>
    </w:p>
    <w:p w14:paraId="278AB82C" w14:textId="77777777" w:rsidR="00BE1E88" w:rsidRDefault="00322DA2">
      <w:pPr>
        <w:pStyle w:val="ListParagraph"/>
        <w:numPr>
          <w:ilvl w:val="0"/>
          <w:numId w:val="3"/>
        </w:numPr>
        <w:jc w:val="both"/>
      </w:pPr>
      <w:r>
        <w:t xml:space="preserve">Draft final analysis report: the consultant will prepare final draft survey report and submitted to </w:t>
      </w:r>
      <w:proofErr w:type="gramStart"/>
      <w:r>
        <w:t>ADD  after</w:t>
      </w:r>
      <w:proofErr w:type="gramEnd"/>
      <w:r>
        <w:t xml:space="preserve"> 8 working days.</w:t>
      </w:r>
    </w:p>
    <w:p w14:paraId="0FC84A47" w14:textId="77777777" w:rsidR="00BE1E88" w:rsidRDefault="00322DA2">
      <w:pPr>
        <w:pStyle w:val="ListParagraph"/>
        <w:numPr>
          <w:ilvl w:val="0"/>
          <w:numId w:val="3"/>
        </w:numPr>
        <w:jc w:val="both"/>
      </w:pPr>
      <w:r>
        <w:t>Providing analysis presentation – the consultant will present finding of market survey to ADD and UNHCR program team.</w:t>
      </w:r>
    </w:p>
    <w:p w14:paraId="11D6348D" w14:textId="77777777" w:rsidR="00BE1E88" w:rsidRDefault="00322DA2">
      <w:pPr>
        <w:jc w:val="both"/>
      </w:pPr>
      <w:r>
        <w:rPr>
          <w:b/>
          <w:bCs/>
        </w:rPr>
        <w:t>Methodology</w:t>
      </w:r>
    </w:p>
    <w:p w14:paraId="61AAC5E2" w14:textId="77777777" w:rsidR="00BE1E88" w:rsidRDefault="00322DA2">
      <w:pPr>
        <w:jc w:val="both"/>
      </w:pPr>
      <w:r>
        <w:t xml:space="preserve">The detailed methodology of this market assessment will be designed by the consultant; However, ADD provided the below general overview that will guide the consultant to design detailed methodology and carry out the assignment.  </w:t>
      </w:r>
    </w:p>
    <w:p w14:paraId="6F7665EF" w14:textId="77777777" w:rsidR="00BE1E88" w:rsidRDefault="00322DA2">
      <w:pPr>
        <w:jc w:val="both"/>
      </w:pPr>
      <w:r>
        <w:t>The intervention will be guided by participatory, inclusive, and market-responsive research methodologies, ensuring that findings are informed by gender, age, disability, and social norms considerations. Data collection methods include:</w:t>
      </w:r>
    </w:p>
    <w:p w14:paraId="2C31852D" w14:textId="77777777" w:rsidR="00BE1E88" w:rsidRDefault="00322DA2">
      <w:pPr>
        <w:pStyle w:val="ListParagraph"/>
        <w:numPr>
          <w:ilvl w:val="0"/>
          <w:numId w:val="4"/>
        </w:numPr>
        <w:jc w:val="both"/>
      </w:pPr>
      <w:r>
        <w:t>Conduct joint discussions with ADD and UNHCR team to create a common understanding on the program, implementation techniques, strategic approaches, expectations, and deliverables of the assignment;</w:t>
      </w:r>
    </w:p>
    <w:p w14:paraId="02CED2DD" w14:textId="77777777" w:rsidR="00BE1E88" w:rsidRDefault="00322DA2">
      <w:pPr>
        <w:numPr>
          <w:ilvl w:val="0"/>
          <w:numId w:val="5"/>
        </w:numPr>
        <w:jc w:val="both"/>
      </w:pPr>
      <w:r>
        <w:t>Key Informant Interviews (KIIs): Engaging community leaders, government officials, and market actors to assess institutional capacities and business ecosystem enablers.</w:t>
      </w:r>
    </w:p>
    <w:p w14:paraId="537C0EA6" w14:textId="77777777" w:rsidR="00BE1E88" w:rsidRDefault="00322DA2">
      <w:pPr>
        <w:numPr>
          <w:ilvl w:val="0"/>
          <w:numId w:val="5"/>
        </w:numPr>
        <w:jc w:val="both"/>
      </w:pPr>
      <w:r>
        <w:t xml:space="preserve">Focus Group Discussions (FGDs): Conduct focus group discussions (FGD) with a wide range of actors and potential program participants along the value chain (youth, women, people </w:t>
      </w:r>
      <w:r>
        <w:lastRenderedPageBreak/>
        <w:t xml:space="preserve">Transitioning Out of Pastoralism (TOP), producers, enterprise groups, private and public sector actors, service providers, </w:t>
      </w:r>
      <w:proofErr w:type="spellStart"/>
      <w:r>
        <w:t>etc</w:t>
      </w:r>
      <w:proofErr w:type="spellEnd"/>
      <w:r>
        <w:t>). to capture nuanced insights into market access barriers.</w:t>
      </w:r>
    </w:p>
    <w:p w14:paraId="2620041E" w14:textId="77777777" w:rsidR="00BE1E88" w:rsidRDefault="00322DA2">
      <w:pPr>
        <w:numPr>
          <w:ilvl w:val="0"/>
          <w:numId w:val="5"/>
        </w:numPr>
        <w:jc w:val="both"/>
      </w:pPr>
      <w:r>
        <w:t>Secondary Data Review: Examining existing livelihood assessments, labor market reports, and sectoral studies to contextualize findings.</w:t>
      </w:r>
    </w:p>
    <w:p w14:paraId="354AC339" w14:textId="77777777" w:rsidR="00BE1E88" w:rsidRDefault="00322DA2">
      <w:pPr>
        <w:jc w:val="both"/>
        <w:rPr>
          <w:b/>
          <w:bCs/>
        </w:rPr>
      </w:pPr>
      <w:r>
        <w:rPr>
          <w:b/>
          <w:bCs/>
        </w:rPr>
        <w:t>Monitoring &amp; Performance Tracking</w:t>
      </w:r>
    </w:p>
    <w:p w14:paraId="103030C2" w14:textId="77777777" w:rsidR="00BE1E88" w:rsidRDefault="00322DA2">
      <w:pPr>
        <w:jc w:val="both"/>
      </w:pPr>
      <w:r>
        <w:t>To ensure impact measurement and accountability, the project will establish an Indicator Performance Tracking System (IPTS) that will:</w:t>
      </w:r>
    </w:p>
    <w:p w14:paraId="23CB4E28" w14:textId="77777777" w:rsidR="00BE1E88" w:rsidRDefault="00322DA2">
      <w:pPr>
        <w:pStyle w:val="ListParagraph"/>
        <w:numPr>
          <w:ilvl w:val="0"/>
          <w:numId w:val="4"/>
        </w:numPr>
        <w:jc w:val="both"/>
      </w:pPr>
      <w:r>
        <w:t>Monitor IGA profitability, employment generation, and business sustainability.</w:t>
      </w:r>
    </w:p>
    <w:p w14:paraId="4982198A" w14:textId="77777777" w:rsidR="00BE1E88" w:rsidRDefault="00322DA2">
      <w:pPr>
        <w:pStyle w:val="ListParagraph"/>
        <w:numPr>
          <w:ilvl w:val="0"/>
          <w:numId w:val="4"/>
        </w:numPr>
        <w:jc w:val="both"/>
      </w:pPr>
      <w:r>
        <w:t>Track market trends and beneficiary participation to adapt strategies dynamically.</w:t>
      </w:r>
    </w:p>
    <w:p w14:paraId="1F1AA823" w14:textId="77777777" w:rsidR="00BE1E88" w:rsidRDefault="00322DA2">
      <w:pPr>
        <w:pStyle w:val="ListParagraph"/>
        <w:numPr>
          <w:ilvl w:val="0"/>
          <w:numId w:val="4"/>
        </w:numPr>
        <w:jc w:val="both"/>
      </w:pPr>
      <w:r>
        <w:t>Establish a benchmark for economic resilience indicators to assess systemic change.</w:t>
      </w:r>
    </w:p>
    <w:p w14:paraId="5CB11ADC" w14:textId="77777777" w:rsidR="00BE1E88" w:rsidRDefault="00322DA2">
      <w:pPr>
        <w:jc w:val="both"/>
        <w:rPr>
          <w:b/>
          <w:bCs/>
        </w:rPr>
      </w:pPr>
      <w:r>
        <w:rPr>
          <w:b/>
          <w:bCs/>
        </w:rPr>
        <w:t>Key Analytical Questions</w:t>
      </w:r>
    </w:p>
    <w:p w14:paraId="11604317" w14:textId="77777777" w:rsidR="00BE1E88" w:rsidRDefault="00322DA2">
      <w:pPr>
        <w:pStyle w:val="ListParagraph"/>
        <w:numPr>
          <w:ilvl w:val="0"/>
          <w:numId w:val="4"/>
        </w:numPr>
        <w:jc w:val="both"/>
      </w:pPr>
      <w:r>
        <w:t>What livelihood diversification opportunities exist for IDPs and host communities to reduce reliance on negative coping mechanisms?</w:t>
      </w:r>
    </w:p>
    <w:p w14:paraId="34FA82AD" w14:textId="77777777" w:rsidR="00BE1E88" w:rsidRDefault="00322DA2">
      <w:pPr>
        <w:pStyle w:val="ListParagraph"/>
        <w:numPr>
          <w:ilvl w:val="0"/>
          <w:numId w:val="4"/>
        </w:numPr>
        <w:jc w:val="both"/>
      </w:pPr>
      <w:r>
        <w:t>Which high-potential market sectors can generate business and employment opportunities for beneficiaries?</w:t>
      </w:r>
    </w:p>
    <w:p w14:paraId="0973FEF8" w14:textId="77777777" w:rsidR="00BE1E88" w:rsidRDefault="00322DA2">
      <w:pPr>
        <w:pStyle w:val="ListParagraph"/>
        <w:numPr>
          <w:ilvl w:val="0"/>
          <w:numId w:val="4"/>
        </w:numPr>
        <w:jc w:val="both"/>
      </w:pPr>
      <w:r>
        <w:t>What institutional partnerships can be leveraged to enhance sustainable livelihoods in Northern State?</w:t>
      </w:r>
    </w:p>
    <w:p w14:paraId="240EC501" w14:textId="44BB0020" w:rsidR="00BE1E88" w:rsidRDefault="00322DA2" w:rsidP="001D26E4">
      <w:pPr>
        <w:pStyle w:val="ListParagraph"/>
        <w:numPr>
          <w:ilvl w:val="0"/>
          <w:numId w:val="4"/>
        </w:numPr>
        <w:jc w:val="both"/>
      </w:pPr>
      <w:r>
        <w:t>What market system constraints need to be addressed to facilitate long-term economic inclusion?</w:t>
      </w:r>
    </w:p>
    <w:p w14:paraId="65A87879" w14:textId="77777777" w:rsidR="00BE1E88" w:rsidRDefault="00322DA2">
      <w:pPr>
        <w:jc w:val="both"/>
        <w:rPr>
          <w:b/>
          <w:bCs/>
        </w:rPr>
      </w:pPr>
      <w:r>
        <w:rPr>
          <w:b/>
          <w:bCs/>
        </w:rPr>
        <w:t>Deliverables</w:t>
      </w:r>
    </w:p>
    <w:tbl>
      <w:tblPr>
        <w:tblW w:w="11430" w:type="dxa"/>
        <w:tblInd w:w="-280" w:type="dxa"/>
        <w:tblLayout w:type="fixed"/>
        <w:tblCellMar>
          <w:left w:w="0" w:type="dxa"/>
          <w:right w:w="0" w:type="dxa"/>
        </w:tblCellMar>
        <w:tblLook w:val="04A0" w:firstRow="1" w:lastRow="0" w:firstColumn="1" w:lastColumn="0" w:noHBand="0" w:noVBand="1"/>
      </w:tblPr>
      <w:tblGrid>
        <w:gridCol w:w="1710"/>
        <w:gridCol w:w="2790"/>
        <w:gridCol w:w="6930"/>
      </w:tblGrid>
      <w:tr w:rsidR="00BE1E88" w14:paraId="06892663" w14:textId="77777777">
        <w:trPr>
          <w:trHeight w:val="290"/>
        </w:trPr>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22B43E" w14:textId="77777777" w:rsidR="00BE1E88" w:rsidRDefault="00322DA2">
            <w:pPr>
              <w:jc w:val="both"/>
            </w:pPr>
            <w:r>
              <w:t>Assignment Phase</w:t>
            </w:r>
          </w:p>
        </w:tc>
        <w:tc>
          <w:tcPr>
            <w:tcW w:w="2790" w:type="dxa"/>
            <w:tcBorders>
              <w:top w:val="single" w:sz="8" w:space="0" w:color="auto"/>
              <w:bottom w:val="single" w:sz="8" w:space="0" w:color="auto"/>
              <w:right w:val="single" w:sz="8" w:space="0" w:color="auto"/>
            </w:tcBorders>
            <w:tcMar>
              <w:top w:w="0" w:type="dxa"/>
              <w:left w:w="108" w:type="dxa"/>
              <w:bottom w:w="0" w:type="dxa"/>
              <w:right w:w="108" w:type="dxa"/>
            </w:tcMar>
          </w:tcPr>
          <w:p w14:paraId="4D6972C8" w14:textId="77777777" w:rsidR="00BE1E88" w:rsidRDefault="00322DA2">
            <w:pPr>
              <w:jc w:val="both"/>
            </w:pPr>
            <w:r>
              <w:t>Purpose of the Phase</w:t>
            </w:r>
          </w:p>
        </w:tc>
        <w:tc>
          <w:tcPr>
            <w:tcW w:w="6930" w:type="dxa"/>
            <w:tcBorders>
              <w:top w:val="single" w:sz="8" w:space="0" w:color="auto"/>
              <w:bottom w:val="single" w:sz="8" w:space="0" w:color="auto"/>
              <w:right w:val="single" w:sz="8" w:space="0" w:color="auto"/>
            </w:tcBorders>
            <w:tcMar>
              <w:top w:w="0" w:type="dxa"/>
              <w:left w:w="108" w:type="dxa"/>
              <w:bottom w:w="0" w:type="dxa"/>
              <w:right w:w="108" w:type="dxa"/>
            </w:tcMar>
          </w:tcPr>
          <w:p w14:paraId="61654EB3" w14:textId="77777777" w:rsidR="00BE1E88" w:rsidRDefault="00322DA2">
            <w:pPr>
              <w:jc w:val="both"/>
            </w:pPr>
            <w:r>
              <w:t>Phase Deliverables</w:t>
            </w:r>
          </w:p>
        </w:tc>
      </w:tr>
      <w:tr w:rsidR="00BE1E88" w14:paraId="76E5BCD7" w14:textId="77777777">
        <w:trPr>
          <w:trHeight w:val="290"/>
        </w:trPr>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925305" w14:textId="77777777" w:rsidR="00BE1E88" w:rsidRDefault="00BE1E88">
            <w:pPr>
              <w:jc w:val="both"/>
            </w:pPr>
          </w:p>
        </w:tc>
        <w:tc>
          <w:tcPr>
            <w:tcW w:w="2790" w:type="dxa"/>
            <w:tcBorders>
              <w:top w:val="single" w:sz="8" w:space="0" w:color="auto"/>
              <w:bottom w:val="single" w:sz="8" w:space="0" w:color="auto"/>
              <w:right w:val="single" w:sz="8" w:space="0" w:color="auto"/>
            </w:tcBorders>
            <w:tcMar>
              <w:top w:w="0" w:type="dxa"/>
              <w:left w:w="108" w:type="dxa"/>
              <w:bottom w:w="0" w:type="dxa"/>
              <w:right w:w="108" w:type="dxa"/>
            </w:tcMar>
          </w:tcPr>
          <w:p w14:paraId="4687C35A" w14:textId="77777777" w:rsidR="00BE1E88" w:rsidRDefault="00BE1E88">
            <w:pPr>
              <w:jc w:val="both"/>
            </w:pPr>
          </w:p>
        </w:tc>
        <w:tc>
          <w:tcPr>
            <w:tcW w:w="6930" w:type="dxa"/>
            <w:tcBorders>
              <w:top w:val="single" w:sz="8" w:space="0" w:color="auto"/>
              <w:bottom w:val="single" w:sz="8" w:space="0" w:color="auto"/>
              <w:right w:val="single" w:sz="8" w:space="0" w:color="auto"/>
            </w:tcBorders>
            <w:tcMar>
              <w:top w:w="0" w:type="dxa"/>
              <w:left w:w="108" w:type="dxa"/>
              <w:bottom w:w="0" w:type="dxa"/>
              <w:right w:w="108" w:type="dxa"/>
            </w:tcMar>
          </w:tcPr>
          <w:p w14:paraId="615E3A0C" w14:textId="77777777" w:rsidR="00BE1E88" w:rsidRDefault="00322DA2">
            <w:pPr>
              <w:pStyle w:val="ListParagraph"/>
              <w:numPr>
                <w:ilvl w:val="0"/>
                <w:numId w:val="6"/>
              </w:numPr>
              <w:jc w:val="both"/>
            </w:pPr>
            <w:r>
              <w:t>Technical and Financial Proposal containing methodology and tools developed for the assessment</w:t>
            </w:r>
          </w:p>
        </w:tc>
      </w:tr>
      <w:tr w:rsidR="00BE1E88" w14:paraId="21D05E5D" w14:textId="77777777">
        <w:trPr>
          <w:trHeight w:val="1591"/>
        </w:trPr>
        <w:tc>
          <w:tcPr>
            <w:tcW w:w="1710" w:type="dxa"/>
            <w:tcBorders>
              <w:left w:val="single" w:sz="8" w:space="0" w:color="auto"/>
              <w:bottom w:val="single" w:sz="8" w:space="0" w:color="auto"/>
              <w:right w:val="single" w:sz="8" w:space="0" w:color="auto"/>
            </w:tcBorders>
            <w:tcMar>
              <w:top w:w="0" w:type="dxa"/>
              <w:left w:w="108" w:type="dxa"/>
              <w:bottom w:w="0" w:type="dxa"/>
              <w:right w:w="108" w:type="dxa"/>
            </w:tcMar>
          </w:tcPr>
          <w:p w14:paraId="668A862E" w14:textId="77777777" w:rsidR="00BE1E88" w:rsidRDefault="00322DA2">
            <w:pPr>
              <w:jc w:val="both"/>
            </w:pPr>
            <w:r>
              <w:t>Preparatory Phase</w:t>
            </w:r>
          </w:p>
        </w:tc>
        <w:tc>
          <w:tcPr>
            <w:tcW w:w="2790" w:type="dxa"/>
            <w:tcBorders>
              <w:bottom w:val="single" w:sz="8" w:space="0" w:color="auto"/>
              <w:right w:val="single" w:sz="8" w:space="0" w:color="auto"/>
            </w:tcBorders>
            <w:tcMar>
              <w:top w:w="0" w:type="dxa"/>
              <w:left w:w="108" w:type="dxa"/>
              <w:bottom w:w="0" w:type="dxa"/>
              <w:right w:w="108" w:type="dxa"/>
            </w:tcMar>
          </w:tcPr>
          <w:p w14:paraId="6B4A7923" w14:textId="77777777" w:rsidR="00BE1E88" w:rsidRDefault="00322DA2">
            <w:pPr>
              <w:jc w:val="both"/>
            </w:pPr>
            <w:r>
              <w:t>Mapping stakeholders and collecting primary data</w:t>
            </w:r>
          </w:p>
        </w:tc>
        <w:tc>
          <w:tcPr>
            <w:tcW w:w="6930" w:type="dxa"/>
            <w:tcBorders>
              <w:bottom w:val="single" w:sz="8" w:space="0" w:color="auto"/>
              <w:right w:val="single" w:sz="8" w:space="0" w:color="auto"/>
            </w:tcBorders>
            <w:tcMar>
              <w:top w:w="0" w:type="dxa"/>
              <w:left w:w="108" w:type="dxa"/>
              <w:bottom w:w="0" w:type="dxa"/>
              <w:right w:w="108" w:type="dxa"/>
            </w:tcMar>
          </w:tcPr>
          <w:p w14:paraId="2316192B" w14:textId="77777777" w:rsidR="00BE1E88" w:rsidRDefault="00322DA2">
            <w:pPr>
              <w:pStyle w:val="ListParagraph"/>
              <w:numPr>
                <w:ilvl w:val="0"/>
                <w:numId w:val="7"/>
              </w:numPr>
              <w:jc w:val="both"/>
            </w:pPr>
            <w:r>
              <w:t xml:space="preserve">List and contact addresses of concerned entities and persons: Key informants, services providers, banks, agriculture, social welfare, cooperatives, CBOs, NGOs, locality authorities, farmers, women organizations, previous related projects, HAC, chamber of commerce </w:t>
            </w:r>
            <w:proofErr w:type="spellStart"/>
            <w:r>
              <w:t>etc</w:t>
            </w:r>
            <w:proofErr w:type="spellEnd"/>
            <w:r>
              <w:t>…</w:t>
            </w:r>
          </w:p>
        </w:tc>
      </w:tr>
      <w:tr w:rsidR="00BE1E88" w14:paraId="76982F50" w14:textId="77777777">
        <w:trPr>
          <w:trHeight w:val="1370"/>
        </w:trPr>
        <w:tc>
          <w:tcPr>
            <w:tcW w:w="1710" w:type="dxa"/>
            <w:tcBorders>
              <w:left w:val="single" w:sz="8" w:space="0" w:color="auto"/>
              <w:bottom w:val="single" w:sz="8" w:space="0" w:color="auto"/>
              <w:right w:val="single" w:sz="8" w:space="0" w:color="auto"/>
            </w:tcBorders>
            <w:tcMar>
              <w:top w:w="0" w:type="dxa"/>
              <w:left w:w="108" w:type="dxa"/>
              <w:bottom w:w="0" w:type="dxa"/>
              <w:right w:w="108" w:type="dxa"/>
            </w:tcMar>
          </w:tcPr>
          <w:p w14:paraId="51C0E429" w14:textId="77777777" w:rsidR="00BE1E88" w:rsidRDefault="00322DA2">
            <w:pPr>
              <w:jc w:val="both"/>
            </w:pPr>
            <w:r>
              <w:t>Data Collection Phase</w:t>
            </w:r>
          </w:p>
        </w:tc>
        <w:tc>
          <w:tcPr>
            <w:tcW w:w="2790" w:type="dxa"/>
            <w:tcBorders>
              <w:bottom w:val="single" w:sz="8" w:space="0" w:color="auto"/>
              <w:right w:val="single" w:sz="8" w:space="0" w:color="auto"/>
            </w:tcBorders>
            <w:tcMar>
              <w:top w:w="0" w:type="dxa"/>
              <w:left w:w="108" w:type="dxa"/>
              <w:bottom w:w="0" w:type="dxa"/>
              <w:right w:w="108" w:type="dxa"/>
            </w:tcMar>
          </w:tcPr>
          <w:p w14:paraId="6FFDD295" w14:textId="77777777" w:rsidR="00BE1E88" w:rsidRDefault="00322DA2">
            <w:pPr>
              <w:jc w:val="both"/>
            </w:pPr>
            <w:r>
              <w:t>Organizing meetings and interviews and paying filed visits to collect detailed information on target group, markets, and concerned institutions</w:t>
            </w:r>
          </w:p>
        </w:tc>
        <w:tc>
          <w:tcPr>
            <w:tcW w:w="6930" w:type="dxa"/>
            <w:tcBorders>
              <w:bottom w:val="single" w:sz="8" w:space="0" w:color="auto"/>
              <w:right w:val="single" w:sz="8" w:space="0" w:color="auto"/>
            </w:tcBorders>
            <w:tcMar>
              <w:top w:w="0" w:type="dxa"/>
              <w:left w:w="108" w:type="dxa"/>
              <w:bottom w:w="0" w:type="dxa"/>
              <w:right w:w="108" w:type="dxa"/>
            </w:tcMar>
          </w:tcPr>
          <w:p w14:paraId="77848839" w14:textId="77777777" w:rsidR="00BE1E88" w:rsidRDefault="00322DA2">
            <w:pPr>
              <w:pStyle w:val="ListParagraph"/>
              <w:numPr>
                <w:ilvl w:val="0"/>
                <w:numId w:val="8"/>
              </w:numPr>
              <w:jc w:val="both"/>
            </w:pPr>
            <w:r>
              <w:t>Detailed information about target group, concerned entities, and potential businesses and markets</w:t>
            </w:r>
          </w:p>
          <w:p w14:paraId="4D2098F1" w14:textId="1265F419" w:rsidR="00BE1E88" w:rsidRDefault="00322DA2" w:rsidP="001D26E4">
            <w:pPr>
              <w:pStyle w:val="ListParagraph"/>
              <w:numPr>
                <w:ilvl w:val="0"/>
                <w:numId w:val="8"/>
              </w:numPr>
              <w:jc w:val="both"/>
            </w:pPr>
            <w:r>
              <w:t>Database with all the questionnaires/ interviews entered</w:t>
            </w:r>
          </w:p>
        </w:tc>
      </w:tr>
      <w:tr w:rsidR="00BE1E88" w14:paraId="41B1003A" w14:textId="77777777">
        <w:trPr>
          <w:trHeight w:val="1100"/>
        </w:trPr>
        <w:tc>
          <w:tcPr>
            <w:tcW w:w="1710" w:type="dxa"/>
            <w:tcBorders>
              <w:left w:val="single" w:sz="8" w:space="0" w:color="auto"/>
              <w:bottom w:val="single" w:sz="8" w:space="0" w:color="auto"/>
              <w:right w:val="single" w:sz="8" w:space="0" w:color="auto"/>
            </w:tcBorders>
            <w:tcMar>
              <w:top w:w="0" w:type="dxa"/>
              <w:left w:w="108" w:type="dxa"/>
              <w:bottom w:w="0" w:type="dxa"/>
              <w:right w:w="108" w:type="dxa"/>
            </w:tcMar>
          </w:tcPr>
          <w:p w14:paraId="475C0121" w14:textId="77777777" w:rsidR="00BE1E88" w:rsidRDefault="00322DA2">
            <w:pPr>
              <w:jc w:val="both"/>
            </w:pPr>
            <w:r>
              <w:lastRenderedPageBreak/>
              <w:t>Results Documentation and Sharing</w:t>
            </w:r>
          </w:p>
        </w:tc>
        <w:tc>
          <w:tcPr>
            <w:tcW w:w="2790" w:type="dxa"/>
            <w:tcBorders>
              <w:bottom w:val="single" w:sz="8" w:space="0" w:color="auto"/>
              <w:right w:val="single" w:sz="8" w:space="0" w:color="auto"/>
            </w:tcBorders>
            <w:tcMar>
              <w:top w:w="0" w:type="dxa"/>
              <w:left w:w="108" w:type="dxa"/>
              <w:bottom w:w="0" w:type="dxa"/>
              <w:right w:w="108" w:type="dxa"/>
            </w:tcMar>
          </w:tcPr>
          <w:p w14:paraId="2FA42C93" w14:textId="77777777" w:rsidR="00BE1E88" w:rsidRDefault="00322DA2">
            <w:pPr>
              <w:jc w:val="both"/>
            </w:pPr>
            <w:proofErr w:type="spellStart"/>
            <w:r>
              <w:t>Analysing</w:t>
            </w:r>
            <w:proofErr w:type="spellEnd"/>
            <w:r>
              <w:t xml:space="preserve"> data, preparing draft report, sharing results with stakeholders for verification and feedback</w:t>
            </w:r>
          </w:p>
        </w:tc>
        <w:tc>
          <w:tcPr>
            <w:tcW w:w="6930" w:type="dxa"/>
            <w:tcBorders>
              <w:bottom w:val="single" w:sz="8" w:space="0" w:color="auto"/>
              <w:right w:val="single" w:sz="8" w:space="0" w:color="auto"/>
            </w:tcBorders>
            <w:tcMar>
              <w:top w:w="0" w:type="dxa"/>
              <w:left w:w="108" w:type="dxa"/>
              <w:bottom w:w="0" w:type="dxa"/>
              <w:right w:w="108" w:type="dxa"/>
            </w:tcMar>
          </w:tcPr>
          <w:p w14:paraId="484ED839" w14:textId="77777777" w:rsidR="00BE1E88" w:rsidRDefault="00322DA2">
            <w:pPr>
              <w:pStyle w:val="ListParagraph"/>
              <w:numPr>
                <w:ilvl w:val="0"/>
                <w:numId w:val="9"/>
              </w:numPr>
              <w:jc w:val="both"/>
            </w:pPr>
            <w:r>
              <w:t>A power point presentation (to be presented to the project stakeholders).</w:t>
            </w:r>
          </w:p>
          <w:p w14:paraId="13C9CDDD" w14:textId="77777777" w:rsidR="00BE1E88" w:rsidRDefault="00322DA2">
            <w:pPr>
              <w:pStyle w:val="ListParagraph"/>
              <w:numPr>
                <w:ilvl w:val="0"/>
                <w:numId w:val="9"/>
              </w:numPr>
              <w:jc w:val="both"/>
            </w:pPr>
            <w:r>
              <w:t>Final comprehensive market assessment report with logic comparison and correlation with the recent available primarily and secondary data (in which stakeholder comments are adequately reflected) submitted in both electronic version and signed hard copy including recommendations and comparing the finding with what actually needed today in the market, and what updated careers occurred due to technology improvement and find its way to the market and the local citizens based on tasks as mentioned above, no late</w:t>
            </w:r>
            <w:r>
              <w:t xml:space="preserve">r than one 3 days after reception of comments on the zero draft report. </w:t>
            </w:r>
          </w:p>
          <w:p w14:paraId="3FEB51E1" w14:textId="77777777" w:rsidR="00BE1E88" w:rsidRDefault="00322DA2">
            <w:pPr>
              <w:pStyle w:val="ListParagraph"/>
              <w:numPr>
                <w:ilvl w:val="0"/>
                <w:numId w:val="9"/>
              </w:numPr>
              <w:jc w:val="both"/>
            </w:pPr>
            <w:r>
              <w:t xml:space="preserve">Reports should be provided in English language, a Summary of the Final Report should also be provided in Arabic. </w:t>
            </w:r>
          </w:p>
        </w:tc>
      </w:tr>
    </w:tbl>
    <w:p w14:paraId="3E628298" w14:textId="77777777" w:rsidR="00BE1E88" w:rsidRDefault="00322DA2">
      <w:pPr>
        <w:jc w:val="both"/>
      </w:pPr>
      <w:r>
        <w:t> </w:t>
      </w:r>
    </w:p>
    <w:p w14:paraId="6438CCAB" w14:textId="77777777" w:rsidR="00BE1E88" w:rsidRDefault="00322DA2">
      <w:pPr>
        <w:jc w:val="both"/>
        <w:rPr>
          <w:b/>
          <w:bCs/>
        </w:rPr>
      </w:pPr>
      <w:r>
        <w:rPr>
          <w:b/>
          <w:bCs/>
        </w:rPr>
        <w:t xml:space="preserve">Time Frame </w:t>
      </w:r>
    </w:p>
    <w:p w14:paraId="7E8E1409" w14:textId="35D6DF8F" w:rsidR="00BE1E88" w:rsidRDefault="00322DA2">
      <w:pPr>
        <w:jc w:val="both"/>
        <w:rPr>
          <w:b/>
          <w:bCs/>
        </w:rPr>
      </w:pPr>
      <w:r>
        <w:t>The assignment shall start in 1</w:t>
      </w:r>
      <w:r>
        <w:t>5</w:t>
      </w:r>
      <w:r>
        <w:t xml:space="preserve"> June 2026 and a detailed implementation work plan will be further specified by the consultant as part of the proposal. The Level of Effort should not exceed 8 working days.</w:t>
      </w:r>
    </w:p>
    <w:p w14:paraId="2BA387F8" w14:textId="77777777" w:rsidR="00BE1E88" w:rsidRDefault="00322DA2">
      <w:pPr>
        <w:jc w:val="both"/>
        <w:rPr>
          <w:b/>
          <w:bCs/>
        </w:rPr>
      </w:pPr>
      <w:r>
        <w:rPr>
          <w:b/>
          <w:bCs/>
        </w:rPr>
        <w:t>Data Protection, Confidentiality and Privacy</w:t>
      </w:r>
    </w:p>
    <w:p w14:paraId="3BA401BF" w14:textId="77777777" w:rsidR="00BE1E88" w:rsidRDefault="00322DA2">
      <w:pPr>
        <w:jc w:val="both"/>
      </w:pPr>
      <w:r>
        <w:t>The Consultant undertake to respect and protect the confidentiality of all information acquired as a result of or pursuant to this Term of Reference and will not, without the other ADD prior written consent, disclose any such information to a third party, unless it is required to do so by any applicable law or regulation or is specifically authorized, ADD must comply with Applicable Law and implement any additional policies or procedures as required . Moreover, other ADD policies impose additional requireme</w:t>
      </w:r>
      <w:r>
        <w:t>nts regarding the collection, use, and protection of particular classes of Personal Data, including the requirements described in the Global Policy Safeguarding Women, Children and Young People.</w:t>
      </w:r>
    </w:p>
    <w:sectPr w:rsidR="00BE1E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99AB" w14:textId="77777777" w:rsidR="00322DA2" w:rsidRDefault="00322DA2">
      <w:pPr>
        <w:spacing w:line="240" w:lineRule="auto"/>
      </w:pPr>
      <w:r>
        <w:separator/>
      </w:r>
    </w:p>
  </w:endnote>
  <w:endnote w:type="continuationSeparator" w:id="0">
    <w:p w14:paraId="774F35EC" w14:textId="77777777" w:rsidR="00322DA2" w:rsidRDefault="00322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A1DC" w14:textId="77777777" w:rsidR="00322DA2" w:rsidRDefault="00322DA2">
      <w:pPr>
        <w:spacing w:after="0"/>
      </w:pPr>
      <w:r>
        <w:separator/>
      </w:r>
    </w:p>
  </w:footnote>
  <w:footnote w:type="continuationSeparator" w:id="0">
    <w:p w14:paraId="0E06075F" w14:textId="77777777" w:rsidR="00322DA2" w:rsidRDefault="00322D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5342"/>
    <w:multiLevelType w:val="multilevel"/>
    <w:tmpl w:val="20BB53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4062134"/>
    <w:multiLevelType w:val="multilevel"/>
    <w:tmpl w:val="240621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CF3D7E"/>
    <w:multiLevelType w:val="multilevel"/>
    <w:tmpl w:val="2CCF3D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95352C8"/>
    <w:multiLevelType w:val="multilevel"/>
    <w:tmpl w:val="395352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22A075C"/>
    <w:multiLevelType w:val="multilevel"/>
    <w:tmpl w:val="422A0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EB251D"/>
    <w:multiLevelType w:val="multilevel"/>
    <w:tmpl w:val="57EB251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EED6BD1"/>
    <w:multiLevelType w:val="multilevel"/>
    <w:tmpl w:val="5EED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FA7E73"/>
    <w:multiLevelType w:val="multilevel"/>
    <w:tmpl w:val="68FA7E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21B43BA"/>
    <w:multiLevelType w:val="multilevel"/>
    <w:tmpl w:val="721B43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5879943">
    <w:abstractNumId w:val="7"/>
  </w:num>
  <w:num w:numId="2" w16cid:durableId="1081834773">
    <w:abstractNumId w:val="3"/>
  </w:num>
  <w:num w:numId="3" w16cid:durableId="146435950">
    <w:abstractNumId w:val="4"/>
  </w:num>
  <w:num w:numId="4" w16cid:durableId="589235003">
    <w:abstractNumId w:val="6"/>
  </w:num>
  <w:num w:numId="5" w16cid:durableId="1724328242">
    <w:abstractNumId w:val="2"/>
  </w:num>
  <w:num w:numId="6" w16cid:durableId="1163860992">
    <w:abstractNumId w:val="8"/>
  </w:num>
  <w:num w:numId="7" w16cid:durableId="1677536997">
    <w:abstractNumId w:val="1"/>
  </w:num>
  <w:num w:numId="8" w16cid:durableId="2004581156">
    <w:abstractNumId w:val="5"/>
  </w:num>
  <w:num w:numId="9" w16cid:durableId="23563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5C8"/>
    <w:rsid w:val="0012482B"/>
    <w:rsid w:val="001D26E4"/>
    <w:rsid w:val="00246A5B"/>
    <w:rsid w:val="002F05B8"/>
    <w:rsid w:val="00322DA2"/>
    <w:rsid w:val="0034298C"/>
    <w:rsid w:val="00390244"/>
    <w:rsid w:val="00546F96"/>
    <w:rsid w:val="007C0D39"/>
    <w:rsid w:val="007E4A0C"/>
    <w:rsid w:val="00897766"/>
    <w:rsid w:val="008D3A25"/>
    <w:rsid w:val="009303B5"/>
    <w:rsid w:val="0098260E"/>
    <w:rsid w:val="0099245E"/>
    <w:rsid w:val="00993A7B"/>
    <w:rsid w:val="009A0207"/>
    <w:rsid w:val="00A20F8C"/>
    <w:rsid w:val="00A22DB7"/>
    <w:rsid w:val="00AA7C28"/>
    <w:rsid w:val="00B96FCB"/>
    <w:rsid w:val="00BE1E88"/>
    <w:rsid w:val="00BE1FBD"/>
    <w:rsid w:val="00C4797F"/>
    <w:rsid w:val="00C635C8"/>
    <w:rsid w:val="00D07A73"/>
    <w:rsid w:val="00DC4DE8"/>
    <w:rsid w:val="00E35874"/>
    <w:rsid w:val="00E465AE"/>
    <w:rsid w:val="78CD09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1165EB"/>
  <w15:docId w15:val="{3CEE0544-F237-4489-B643-CE97EECF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Revision">
    <w:name w:val="Revision"/>
    <w:hidden/>
    <w:uiPriority w:val="99"/>
    <w:unhideWhenUsed/>
    <w:rsid w:val="001D26E4"/>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2891D-5A9F-4590-834C-23CA5BE8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7461</Characters>
  <Application>Microsoft Office Word</Application>
  <DocSecurity>0</DocSecurity>
  <Lines>62</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Elfatih Bushara</dc:creator>
  <cp:lastModifiedBy>Elfatih Bushara</cp:lastModifiedBy>
  <cp:revision>2</cp:revision>
  <dcterms:created xsi:type="dcterms:W3CDTF">2026-06-14T11:56:00Z</dcterms:created>
  <dcterms:modified xsi:type="dcterms:W3CDTF">2026-06-14T11:56:00Z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8b6158d6-63db-429d-830c-a7da136bf039</vt:lpwstr>
  </property>
  <property fmtid="{D5CDD505-2E9C-101B-9397-08002B2CF9AE}" pid="3" name="KSOProductBuildVer">
    <vt:lpwstr>1033-12.1.0.26880</vt:lpwstr>
  </property>
  <property fmtid="{D5CDD505-2E9C-101B-9397-08002B2CF9AE}" pid="4" name="ICV">
    <vt:lpwstr>1E9FEC8D17BC4286AE72A6989E662680_13</vt:lpwstr>
  </property>
</Properties>
</file>